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rPr>
      </w:pPr>
      <w:r>
        <w:rPr>
          <w:rFonts w:hint="eastAsia" w:ascii="黑体" w:hAnsi="黑体" w:eastAsia="黑体"/>
          <w:sz w:val="32"/>
          <w:szCs w:val="32"/>
        </w:rPr>
        <w:t>附件2</w:t>
      </w:r>
    </w:p>
    <w:p>
      <w:pPr>
        <w:spacing w:line="600" w:lineRule="exact"/>
        <w:rPr>
          <w:rFonts w:hint="eastAsia" w:ascii="黑体" w:hAnsi="黑体" w:eastAsia="黑体"/>
        </w:rPr>
      </w:pPr>
    </w:p>
    <w:p>
      <w:pPr>
        <w:spacing w:line="600" w:lineRule="exact"/>
        <w:rPr>
          <w:rFonts w:hint="eastAsia" w:ascii="黑体" w:hAnsi="黑体" w:eastAsia="黑体"/>
        </w:rPr>
      </w:pPr>
    </w:p>
    <w:p>
      <w:pPr>
        <w:spacing w:line="600" w:lineRule="exact"/>
        <w:rPr>
          <w:rFonts w:hint="eastAsia" w:ascii="黑体" w:hAnsi="黑体" w:eastAsia="黑体"/>
        </w:rPr>
      </w:pPr>
    </w:p>
    <w:p>
      <w:pPr>
        <w:spacing w:line="64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《文明旅游示范单位要求与评价》</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（LB/T 075-2019）评定细则</w:t>
      </w:r>
    </w:p>
    <w:bookmarkEnd w:id="0"/>
    <w:p>
      <w:pPr>
        <w:spacing w:line="560" w:lineRule="exact"/>
        <w:jc w:val="center"/>
        <w:outlineLvl w:val="0"/>
        <w:rPr>
          <w:rFonts w:hint="eastAsia" w:ascii="黑体" w:hAnsi="黑体" w:eastAsia="黑体" w:cs="等线 Light"/>
          <w:sz w:val="36"/>
          <w:szCs w:val="36"/>
        </w:rPr>
      </w:pPr>
      <w:r>
        <w:rPr>
          <w:rFonts w:hint="eastAsia" w:ascii="黑体" w:hAnsi="黑体" w:eastAsia="黑体" w:cs="等线 Light"/>
          <w:sz w:val="36"/>
          <w:szCs w:val="36"/>
        </w:rPr>
        <w:t xml:space="preserve"> </w:t>
      </w:r>
    </w:p>
    <w:p>
      <w:pPr>
        <w:spacing w:line="560" w:lineRule="exact"/>
        <w:jc w:val="center"/>
        <w:outlineLvl w:val="0"/>
        <w:rPr>
          <w:rFonts w:hint="eastAsia" w:ascii="黑体" w:hAnsi="黑体" w:eastAsia="黑体" w:cs="等线 Light"/>
          <w:sz w:val="36"/>
          <w:szCs w:val="36"/>
        </w:rPr>
      </w:pPr>
      <w:r>
        <w:rPr>
          <w:rFonts w:hint="eastAsia" w:ascii="黑体" w:hAnsi="黑体" w:eastAsia="黑体" w:cs="等线 Light"/>
          <w:sz w:val="36"/>
          <w:szCs w:val="36"/>
        </w:rPr>
        <w:t xml:space="preserve"> </w:t>
      </w:r>
    </w:p>
    <w:p>
      <w:pPr>
        <w:spacing w:line="560" w:lineRule="exact"/>
        <w:jc w:val="center"/>
        <w:outlineLvl w:val="0"/>
        <w:rPr>
          <w:rFonts w:hint="eastAsia" w:ascii="黑体" w:hAnsi="黑体" w:eastAsia="黑体" w:cs="等线 Light"/>
          <w:sz w:val="36"/>
          <w:szCs w:val="36"/>
        </w:rPr>
      </w:pPr>
      <w:r>
        <w:rPr>
          <w:rFonts w:hint="eastAsia" w:ascii="黑体" w:hAnsi="黑体" w:eastAsia="黑体" w:cs="等线 Light"/>
          <w:sz w:val="36"/>
          <w:szCs w:val="36"/>
        </w:rPr>
        <w:t xml:space="preserve"> </w:t>
      </w:r>
    </w:p>
    <w:p>
      <w:pPr>
        <w:spacing w:line="560" w:lineRule="exact"/>
        <w:jc w:val="center"/>
        <w:outlineLvl w:val="0"/>
        <w:rPr>
          <w:rFonts w:hint="eastAsia" w:ascii="黑体" w:hAnsi="黑体" w:eastAsia="黑体" w:cs="等线 Light"/>
          <w:sz w:val="36"/>
          <w:szCs w:val="36"/>
        </w:rPr>
      </w:pPr>
      <w:r>
        <w:rPr>
          <w:rFonts w:hint="eastAsia" w:ascii="黑体" w:hAnsi="黑体" w:eastAsia="黑体" w:cs="等线 Light"/>
          <w:sz w:val="36"/>
          <w:szCs w:val="36"/>
        </w:rPr>
        <w:t xml:space="preserve"> </w:t>
      </w:r>
    </w:p>
    <w:p>
      <w:pPr>
        <w:rPr>
          <w:rFonts w:hint="eastAsia"/>
          <w:sz w:val="36"/>
          <w:szCs w:val="36"/>
        </w:rPr>
      </w:pPr>
      <w:r>
        <w:rPr>
          <w:sz w:val="36"/>
          <w:szCs w:val="36"/>
        </w:rPr>
        <w:t xml:space="preserve"> </w:t>
      </w: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keepNext w:val="0"/>
        <w:keepLines w:val="0"/>
        <w:pageBreakBefore w:val="0"/>
        <w:kinsoku/>
        <w:wordWrap/>
        <w:overflowPunct/>
        <w:topLinePunct w:val="0"/>
        <w:autoSpaceDE/>
        <w:autoSpaceDN/>
        <w:bidi w:val="0"/>
        <w:adjustRightInd/>
        <w:snapToGrid/>
        <w:spacing w:line="700" w:lineRule="exact"/>
        <w:jc w:val="center"/>
        <w:textAlignment w:val="auto"/>
        <w:outlineLvl w:val="9"/>
        <w:rPr>
          <w:sz w:val="32"/>
          <w:szCs w:val="32"/>
        </w:rPr>
      </w:pPr>
      <w:r>
        <w:rPr>
          <w:sz w:val="32"/>
          <w:szCs w:val="32"/>
        </w:rPr>
        <w:t xml:space="preserve"> </w:t>
      </w:r>
    </w:p>
    <w:p>
      <w:pPr>
        <w:keepNext w:val="0"/>
        <w:keepLines w:val="0"/>
        <w:pageBreakBefore w:val="0"/>
        <w:kinsoku/>
        <w:wordWrap/>
        <w:overflowPunct/>
        <w:topLinePunct w:val="0"/>
        <w:autoSpaceDE/>
        <w:autoSpaceDN/>
        <w:bidi w:val="0"/>
        <w:adjustRightInd/>
        <w:snapToGrid/>
        <w:spacing w:line="700" w:lineRule="exact"/>
        <w:jc w:val="center"/>
        <w:textAlignment w:val="auto"/>
        <w:outlineLvl w:val="9"/>
        <w:rPr>
          <w:rFonts w:ascii="仿宋_GB2312"/>
          <w:b/>
          <w:bCs/>
          <w:sz w:val="32"/>
          <w:szCs w:val="32"/>
        </w:rPr>
      </w:pPr>
      <w:r>
        <w:rPr>
          <w:rFonts w:hint="eastAsia" w:ascii="仿宋_GB2312"/>
          <w:b/>
          <w:bCs/>
          <w:sz w:val="32"/>
          <w:szCs w:val="32"/>
        </w:rPr>
        <w:t>文化和旅游部</w:t>
      </w:r>
    </w:p>
    <w:p>
      <w:pPr>
        <w:keepNext w:val="0"/>
        <w:keepLines w:val="0"/>
        <w:pageBreakBefore w:val="0"/>
        <w:kinsoku/>
        <w:wordWrap/>
        <w:overflowPunct/>
        <w:topLinePunct w:val="0"/>
        <w:autoSpaceDE/>
        <w:autoSpaceDN/>
        <w:bidi w:val="0"/>
        <w:adjustRightInd/>
        <w:snapToGrid/>
        <w:spacing w:line="700" w:lineRule="exact"/>
        <w:jc w:val="center"/>
        <w:textAlignment w:val="auto"/>
        <w:outlineLvl w:val="9"/>
        <w:rPr>
          <w:rFonts w:hint="eastAsia" w:ascii="仿宋_GB2312"/>
          <w:b/>
          <w:bCs/>
          <w:sz w:val="32"/>
          <w:szCs w:val="32"/>
        </w:rPr>
      </w:pPr>
      <w:r>
        <w:rPr>
          <w:rFonts w:hint="eastAsia" w:ascii="仿宋_GB2312"/>
          <w:b/>
          <w:bCs/>
          <w:sz w:val="32"/>
          <w:szCs w:val="32"/>
        </w:rPr>
        <w:t>2021年3月</w:t>
      </w:r>
    </w:p>
    <w:p>
      <w:pPr>
        <w:keepNext w:val="0"/>
        <w:keepLines w:val="0"/>
        <w:pageBreakBefore w:val="0"/>
        <w:widowControl/>
        <w:kinsoku/>
        <w:wordWrap/>
        <w:overflowPunct/>
        <w:topLinePunct w:val="0"/>
        <w:autoSpaceDE/>
        <w:autoSpaceDN/>
        <w:bidi w:val="0"/>
        <w:adjustRightInd/>
        <w:snapToGrid/>
        <w:spacing w:line="700" w:lineRule="exact"/>
        <w:jc w:val="left"/>
        <w:textAlignment w:val="auto"/>
        <w:outlineLvl w:val="9"/>
        <w:rPr>
          <w:rFonts w:ascii="仿宋_GB2312" w:hAnsi="宋体" w:cs="宋体"/>
          <w:b/>
          <w:bCs/>
          <w:sz w:val="32"/>
          <w:szCs w:val="32"/>
        </w:rPr>
        <w:sectPr>
          <w:pgSz w:w="11906" w:h="16838"/>
          <w:pgMar w:top="2098" w:right="1531" w:bottom="1701" w:left="1531" w:header="851" w:footer="992" w:gutter="0"/>
          <w:cols w:space="720" w:num="1"/>
          <w:docGrid w:type="lines" w:linePitch="312" w:charSpace="0"/>
        </w:sectPr>
      </w:pPr>
    </w:p>
    <w:p>
      <w:pPr>
        <w:spacing w:line="4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1.文明旅游示范单位评价指标包括5类基本项目、附加项目和负面清单，5类基本项目合计900分，附加项目加分合计100分，负面清单按照相关指标取消申报资格或扣减分数。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2.5类基本项目及分值安排为：制度建设（100分）、卫生环境（150分）、服务质量（250分）、宣传引导（250分）、实践活动（150分）。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文明旅游示范单位950分达标，其中：基本项目总分不低于855分，每项基本项目的得分率分别不低于85%；省级文明旅游示范单位800分达标，其中：基本项目总分不低于720分；每项基本项目的得分率分别不低于75%。</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4.负面清单是评价文明旅游示范单位的重要方面，文明旅游负面清单管理措施见附表。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打分方式：文档检查项目采用得分方式，检查可以作为得分支撑的图片、视频、文件、新闻报道等材料；文档、现场综合检查项目采用先文档检查得分，再现场检查减分方式；现场检查项目为减分方式；加分项目为加分方式。《文明旅游负面清单管理措施》实行承诺制，检查发现问题，按照惩戒办法执行。</w:t>
      </w:r>
    </w:p>
    <w:p>
      <w:pPr>
        <w:widowControl/>
        <w:spacing w:line="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6"/>
        <w:gridCol w:w="1954"/>
        <w:gridCol w:w="3053"/>
        <w:gridCol w:w="567"/>
        <w:gridCol w:w="567"/>
        <w:gridCol w:w="773"/>
        <w:gridCol w:w="64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序号</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内容</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评分标准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大项分值</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分项分值</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次分项分值</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分档分值</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b/>
                <w:bCs/>
                <w:kern w:val="0"/>
                <w:sz w:val="24"/>
                <w:szCs w:val="24"/>
              </w:rPr>
            </w:pPr>
            <w:r>
              <w:rPr>
                <w:rFonts w:hint="eastAsia" w:ascii="仿宋_GB2312"/>
                <w:b/>
                <w:bCs/>
                <w:kern w:val="0"/>
                <w:sz w:val="24"/>
                <w:szCs w:val="24"/>
              </w:rPr>
              <w:t>验收方法</w:t>
            </w:r>
          </w:p>
          <w:p>
            <w:pPr>
              <w:widowControl/>
              <w:jc w:val="center"/>
              <w:rPr>
                <w:rFonts w:ascii="仿宋_GB2312" w:hAnsi="Calibri"/>
                <w:kern w:val="0"/>
                <w:sz w:val="24"/>
                <w:szCs w:val="24"/>
              </w:rPr>
            </w:pPr>
            <w:r>
              <w:rPr>
                <w:rFonts w:hint="eastAsia" w:ascii="仿宋_GB2312"/>
                <w:b/>
                <w:bCs/>
                <w:kern w:val="0"/>
                <w:sz w:val="24"/>
                <w:szCs w:val="24"/>
              </w:rPr>
              <w:t>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制度建设</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100</w:t>
            </w: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专项方案和绩效考核</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1.1.1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专项方案</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有文明旅游工作专项方案，方案内容详实，操作性强。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绩效考核</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文明旅游工作纳入绩效考核并严格实施，效果良好。</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12</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职业道德规范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有符合社会主义核心价值观、体现本单位特色的职业道德基本规范。内容完善，涉及全面，操作性强。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培训考核制度</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有涉及服务、管理、安全等内容的员工培训考核制度，并严格执行。每缺一项扣5分。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培训规范</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1.4.1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培训范围</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管理人员及服务人员年度培训比例。分档计分。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大于90%。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大于75%。</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7</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75%及以下。</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1.4.2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培训内容</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职业道德、业务知识、文明服务、安全教育等培训内容全面。每缺1项培训扣1分。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8"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1.4.3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培训效果</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采取随机抽查的方式，考察员工培训效果。分档计分。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掌握。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基本掌握。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不掌握。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宣传教育活动</w:t>
            </w: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有具备行业特色、职业特点的社会主义核心价值观宣传教育活动（有报道、有图片、有记录）。分档计分。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一年7次及以上。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一年3-6次。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9</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1.6</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应急预案和演练</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1.6.1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应急预案</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有突发事件处置应急预案（突发事件应包括自然灾害、事故灾难、公共卫生事件和社会安全事件等）。预案详实具体，切合实际，操作性强。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1.6.2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定期演练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有年度突发事件应急演练实施计划，并定期演练。分档计分。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一年2次及以上。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一年1次。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卫生环境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2.1</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环境维护</w:t>
            </w:r>
          </w:p>
        </w:tc>
        <w:tc>
          <w:tcPr>
            <w:tcW w:w="3053"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2.1.1</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卫生环境秩序</w:t>
            </w: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环境干净整洁，无卫生死角，无乱写乱画、乱摆乱放、乱搭乱建现象。每发现1处不符合扣2分。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2.1.2</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建筑风貌</w:t>
            </w: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建筑风貌、装饰风格与整体环境相协调。每</w:t>
            </w:r>
            <w:r>
              <w:rPr>
                <w:rFonts w:hint="eastAsia" w:ascii="仿宋_GB2312" w:eastAsia="仿宋_GB2312"/>
                <w:color w:val="000000"/>
                <w:spacing w:val="-6"/>
                <w:sz w:val="24"/>
                <w:szCs w:val="24"/>
              </w:rPr>
              <w:t>发现1处不得当扣2分</w:t>
            </w:r>
            <w:r>
              <w:rPr>
                <w:rFonts w:hint="eastAsia" w:ascii="仿宋_GB2312" w:eastAsia="仿宋_GB2312"/>
                <w:color w:val="000000"/>
                <w:sz w:val="24"/>
                <w:szCs w:val="24"/>
              </w:rPr>
              <w:t>。</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2.2</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垃圾箱</w:t>
            </w:r>
          </w:p>
        </w:tc>
        <w:tc>
          <w:tcPr>
            <w:tcW w:w="3053"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1"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布局、数量</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布局合理，数量充足，与周边环境相协调。每</w:t>
            </w:r>
            <w:r>
              <w:rPr>
                <w:rFonts w:hint="eastAsia" w:ascii="仿宋_GB2312"/>
                <w:spacing w:val="-6"/>
                <w:sz w:val="24"/>
                <w:szCs w:val="24"/>
              </w:rPr>
              <w:t>发现1处不足扣1分。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1"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材质、分类设置</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有采用环保材料制作的分类式垃圾箱。每</w:t>
            </w:r>
            <w:r>
              <w:rPr>
                <w:rFonts w:hint="eastAsia" w:ascii="仿宋_GB2312"/>
                <w:spacing w:val="-6"/>
                <w:sz w:val="24"/>
                <w:szCs w:val="24"/>
              </w:rPr>
              <w:t>发现1处不足扣1分。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3"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2.3</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垃圾处理</w:t>
            </w:r>
          </w:p>
        </w:tc>
        <w:tc>
          <w:tcPr>
            <w:tcW w:w="3053"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pacing w:val="-6"/>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2.3.1</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垃圾清理及时，日产日清，整体环境整洁、卫生、美观。每</w:t>
            </w:r>
            <w:r>
              <w:rPr>
                <w:rFonts w:hint="eastAsia" w:ascii="仿宋_GB2312" w:eastAsia="仿宋_GB2312"/>
                <w:color w:val="000000"/>
                <w:spacing w:val="-6"/>
                <w:sz w:val="24"/>
                <w:szCs w:val="24"/>
              </w:rPr>
              <w:t>发现1处不足扣2分。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2.3.2</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科学进行垃圾分类。</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2.4</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制度执行</w:t>
            </w:r>
          </w:p>
        </w:tc>
        <w:tc>
          <w:tcPr>
            <w:tcW w:w="3053" w:type="dxa"/>
            <w:tcBorders>
              <w:top w:val="single" w:color="auto" w:sz="4" w:space="0"/>
              <w:left w:val="nil"/>
              <w:bottom w:val="single" w:color="auto" w:sz="4" w:space="0"/>
              <w:right w:val="single" w:color="auto" w:sz="4" w:space="0"/>
            </w:tcBorders>
            <w:noWrap w:val="0"/>
            <w:vAlign w:val="center"/>
          </w:tcPr>
          <w:p>
            <w:pPr>
              <w:pStyle w:val="5"/>
              <w:jc w:val="both"/>
              <w:rPr>
                <w:rFonts w:ascii="仿宋_GB2312" w:eastAsia="仿宋_GB2312"/>
                <w:color w:val="000000"/>
                <w:sz w:val="24"/>
                <w:szCs w:val="24"/>
              </w:rPr>
            </w:pPr>
            <w:r>
              <w:rPr>
                <w:rFonts w:hint="eastAsia" w:ascii="仿宋_GB2312" w:eastAsia="仿宋_GB2312"/>
                <w:color w:val="000000"/>
                <w:sz w:val="24"/>
                <w:szCs w:val="24"/>
              </w:rPr>
              <w:t>卫生责任制度和卫生检查制度实施效果良好，落实环保责任人，定期进行卫生检查。每</w:t>
            </w:r>
            <w:r>
              <w:rPr>
                <w:rFonts w:hint="eastAsia" w:ascii="仿宋_GB2312" w:eastAsia="仿宋_GB2312"/>
                <w:color w:val="000000"/>
                <w:spacing w:val="-6"/>
                <w:sz w:val="24"/>
                <w:szCs w:val="24"/>
              </w:rPr>
              <w:t>发现1处不足扣2分。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2.5</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卫生间</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旅游景区、星级旅游饭店、其他涉旅单位分类打分。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旅游景区</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卫生间建设与分布符合《旅游厕所质量等级的划分与评定》（GB/T 18973）A级旅游厕所的规定和《旅游区（点）质量等级的划分与评定》（GB/T 17775）相应等级的规定。</w:t>
            </w:r>
            <w:r>
              <w:rPr>
                <w:rFonts w:hint="eastAsia" w:ascii="仿宋_GB2312"/>
                <w:kern w:val="0"/>
                <w:sz w:val="24"/>
                <w:szCs w:val="24"/>
              </w:rPr>
              <w:t>每</w:t>
            </w:r>
            <w:r>
              <w:rPr>
                <w:rFonts w:hint="eastAsia" w:ascii="仿宋_GB2312"/>
                <w:spacing w:val="-6"/>
                <w:sz w:val="24"/>
                <w:szCs w:val="24"/>
              </w:rPr>
              <w:t>发现1处不符合扣5分。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星级旅游饭店</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卫生间建设与分布符合《旅游饭店星级的划分与评定》（GB/T14308）相应星级的规定。</w:t>
            </w:r>
            <w:r>
              <w:rPr>
                <w:rFonts w:hint="eastAsia" w:ascii="仿宋_GB2312"/>
                <w:kern w:val="0"/>
                <w:sz w:val="24"/>
                <w:szCs w:val="24"/>
              </w:rPr>
              <w:t>每</w:t>
            </w:r>
            <w:r>
              <w:rPr>
                <w:rFonts w:hint="eastAsia" w:ascii="仿宋_GB2312"/>
                <w:spacing w:val="-6"/>
                <w:sz w:val="24"/>
                <w:szCs w:val="24"/>
              </w:rPr>
              <w:t>发现1处不符合扣5分。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其他涉旅单位</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卫生间数量充足、分布合理，设备运行良好，男女厕位比例符合规定，如厕环境干净、卫生、无异味，倡导文明如厕，管理有效。</w:t>
            </w:r>
            <w:r>
              <w:rPr>
                <w:rFonts w:hint="eastAsia" w:ascii="仿宋_GB2312"/>
                <w:kern w:val="0"/>
                <w:sz w:val="24"/>
                <w:szCs w:val="24"/>
              </w:rPr>
              <w:t>每</w:t>
            </w:r>
            <w:r>
              <w:rPr>
                <w:rFonts w:hint="eastAsia" w:ascii="仿宋_GB2312"/>
                <w:spacing w:val="-6"/>
                <w:sz w:val="24"/>
                <w:szCs w:val="24"/>
              </w:rPr>
              <w:t>发现1处不符合扣5分。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服务质量</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250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经营管理</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诚信经营，明码标价，无不文明经营行为。每发现1例不文明经营现象扣4分。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机构完善</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客户服务机构</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有客户服务机构，指定专人负责咨询服务、投诉处理等工作。</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投诉电话和意见箱</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醒目位置公布投诉电话、旅游服务热线12301和旅游者意见箱。</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处理规范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投诉处理</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3.3.1.1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在12小时内受理投诉，特殊情况下不超过24小时。每发现1例不符合扣1分。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4"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件件有反馈。每发现1处未反馈扣1分。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3.3.1.3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投诉处理效果。累计计分。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pacing w:val="-6"/>
                <w:sz w:val="24"/>
                <w:szCs w:val="24"/>
              </w:rPr>
              <w:t>投诉处理记录完整规范。</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针对投诉涉及的普遍性问题制定整改措施。</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投诉处理依法依规、服务态度好。可向投诉人员了解反馈意见。</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满意度调查</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本部分被评价单位可以自行开展或以第三方网评作支撑材料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3.3.2.1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 xml:space="preserve">征询方式不少于两种，可以采取纸质征询、在线征询等方式。                                                                                                                                                                                                                                                                                                                                                                                                                                                                                                                                                                                                                                                                                                                                                                                                                                                                                                                                                                                                                                                                                                                                                                                                                                                                                                                                                                                                                                                                                                                                    </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3.3.2.2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样本量符合接待规模（总量达到全年接待量的1/1000）。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3.3.2.3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征询意见有分析、有通报、有改进措施。</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服务规范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从业人员仪态规范、热情周到、语言恰当。现场检查不符合酌情扣分。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3.5</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尊重旅游者</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尊重旅游者民族风俗、宗教信仰。每发现一例不符合扣5分。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1"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3.6</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语言规范</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使用文明用语，提供普通话服务，得10分。提供两种及以上其他语种服务，每种得5分，最多得10分。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3.7</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人性化服务</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为老人、儿童、孕妇、残障人士等特殊人群提供相应的人性化服务。每发现1处不足扣4分。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3.8</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无障碍设施</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无障碍设施符合《无障碍设计规范》（GB 50763）的规定。每</w:t>
            </w:r>
            <w:r>
              <w:rPr>
                <w:rFonts w:hint="eastAsia" w:ascii="仿宋_GB2312"/>
                <w:spacing w:val="-6"/>
                <w:sz w:val="24"/>
                <w:szCs w:val="24"/>
              </w:rPr>
              <w:t>发现1处不符合扣5分。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3.9</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标识规范</w:t>
            </w:r>
          </w:p>
        </w:tc>
        <w:tc>
          <w:tcPr>
            <w:tcW w:w="3053"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3.9.1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sz w:val="24"/>
                <w:szCs w:val="24"/>
              </w:rPr>
              <w:t>公共信息</w:t>
            </w:r>
          </w:p>
          <w:p>
            <w:pPr>
              <w:widowControl/>
              <w:jc w:val="center"/>
              <w:rPr>
                <w:rFonts w:ascii="仿宋_GB2312" w:hAnsi="Calibri"/>
                <w:sz w:val="24"/>
                <w:szCs w:val="24"/>
              </w:rPr>
            </w:pPr>
            <w:r>
              <w:rPr>
                <w:rFonts w:hint="eastAsia" w:ascii="仿宋_GB2312"/>
                <w:sz w:val="24"/>
                <w:szCs w:val="24"/>
              </w:rPr>
              <w:t>图形符号</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公共信息图形符号的使用符合《公共信息图形符号第1部分：通用符号》（GB/T 10001.1）、《标志用公共信息图形符号第2部分：旅游休闲符号》（GB/T 10001.2）和《标志用公共信息图形符号 第9部分：无障碍设施符号》（GB/T 10001.9）的规定。</w:t>
            </w:r>
            <w:r>
              <w:rPr>
                <w:rFonts w:hint="eastAsia" w:ascii="仿宋_GB2312"/>
                <w:kern w:val="0"/>
                <w:sz w:val="24"/>
                <w:szCs w:val="24"/>
              </w:rPr>
              <w:t>每</w:t>
            </w:r>
            <w:r>
              <w:rPr>
                <w:rFonts w:hint="eastAsia" w:ascii="仿宋_GB2312"/>
                <w:sz w:val="24"/>
                <w:szCs w:val="24"/>
              </w:rPr>
              <w:t>发现1处应设未设或不符合规范扣3分。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3.9.2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安全警示标志</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sz w:val="24"/>
                <w:szCs w:val="24"/>
              </w:rPr>
              <w:t>易发生危险的区域和设施设置安全警示标志，安全标志符合《安全标志及其使用导则》（GB 2894）的规定。</w:t>
            </w:r>
            <w:r>
              <w:rPr>
                <w:rFonts w:hint="eastAsia" w:ascii="仿宋_GB2312"/>
                <w:kern w:val="0"/>
                <w:sz w:val="24"/>
                <w:szCs w:val="24"/>
              </w:rPr>
              <w:t>每</w:t>
            </w:r>
            <w:r>
              <w:rPr>
                <w:rFonts w:hint="eastAsia" w:ascii="仿宋_GB2312"/>
                <w:sz w:val="24"/>
                <w:szCs w:val="24"/>
              </w:rPr>
              <w:t>发现1处应设未设或不符合规范扣3分。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宣传引导</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250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宣传要求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宣传氛围</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广泛普及文明知识、礼仪常识，文明旅游宣传氛围浓厚。</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文明礼仪知识普及一般，文明旅游宣传氛围一般。</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宣传形式</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本单位网站设有专栏，并每月更新。</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本单位微信公众号设有专栏，并每月更新。</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4.1.2.3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宣传形式多样，并定期更新。</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典型案例</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文明宣传</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开展文明旅游典型事迹宣传。</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不文明警示</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开展不文明行为警示教育。</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宣传品种类</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3种以上。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1-3种（含3种）。</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kern w:val="0"/>
                <w:sz w:val="24"/>
                <w:szCs w:val="24"/>
              </w:rPr>
            </w:pPr>
            <w:r>
              <w:rPr>
                <w:rFonts w:hint="eastAsia" w:ascii="仿宋_GB2312"/>
                <w:kern w:val="0"/>
                <w:sz w:val="24"/>
                <w:szCs w:val="24"/>
              </w:rPr>
              <w:t>文明旅游公益</w:t>
            </w:r>
          </w:p>
          <w:p>
            <w:pPr>
              <w:widowControl/>
              <w:jc w:val="center"/>
              <w:rPr>
                <w:rFonts w:ascii="仿宋_GB2312" w:hAnsi="Calibri"/>
                <w:kern w:val="0"/>
                <w:sz w:val="24"/>
                <w:szCs w:val="24"/>
              </w:rPr>
            </w:pPr>
            <w:r>
              <w:rPr>
                <w:rFonts w:hint="eastAsia" w:ascii="仿宋_GB2312"/>
                <w:kern w:val="0"/>
                <w:sz w:val="24"/>
                <w:szCs w:val="24"/>
              </w:rPr>
              <w:t>宣传片播放</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根据经营特点播放文明旅游公益宣传片。累计计分。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4.4.1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播放地点</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有固定播放设施和场所。</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4.4.2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播放时间</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经营期间，每天定时播放。</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4.5</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自创宣传品</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3种以上。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1-3种（含3种）。</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无自创宣传品。</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文明引导</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本项指标针对旅行社、星级旅游饭店、旅游景区的文明引导设计，其它涉旅单位参照执行。分类计分。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120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旅行社</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b/>
                <w:bCs/>
                <w:kern w:val="0"/>
                <w:sz w:val="24"/>
                <w:szCs w:val="24"/>
              </w:rPr>
            </w:pPr>
            <w:r>
              <w:rPr>
                <w:rFonts w:hint="eastAsia" w:ascii="仿宋_GB2312"/>
                <w:b/>
                <w:bCs/>
                <w:kern w:val="0"/>
                <w:sz w:val="24"/>
                <w:szCs w:val="24"/>
              </w:rPr>
              <w:t>120</w:t>
            </w: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b/>
                <w:bCs/>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w:t>
            </w:r>
          </w:p>
        </w:tc>
        <w:tc>
          <w:tcPr>
            <w:tcW w:w="1954"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组团环节</w:t>
            </w:r>
          </w:p>
        </w:tc>
        <w:tc>
          <w:tcPr>
            <w:tcW w:w="305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4.6.1.1</w:t>
            </w:r>
          </w:p>
        </w:tc>
        <w:tc>
          <w:tcPr>
            <w:tcW w:w="1954" w:type="dxa"/>
            <w:tcBorders>
              <w:top w:val="single" w:color="auto" w:sz="4" w:space="0"/>
              <w:left w:val="nil"/>
              <w:bottom w:val="single" w:color="auto" w:sz="4" w:space="0"/>
              <w:right w:val="single" w:color="auto" w:sz="4" w:space="0"/>
            </w:tcBorders>
            <w:noWrap w:val="0"/>
            <w:vAlign w:val="center"/>
          </w:tcPr>
          <w:p>
            <w:pPr>
              <w:pStyle w:val="9"/>
              <w:ind w:firstLine="0" w:firstLineChars="0"/>
              <w:jc w:val="center"/>
              <w:rPr>
                <w:rFonts w:ascii="仿宋_GB2312" w:eastAsia="仿宋_GB2312"/>
                <w:color w:val="000000"/>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9"/>
              <w:ind w:firstLine="0" w:firstLineChars="0"/>
              <w:rPr>
                <w:rFonts w:ascii="仿宋_GB2312" w:eastAsia="仿宋_GB2312"/>
                <w:color w:val="000000"/>
                <w:kern w:val="0"/>
                <w:sz w:val="24"/>
                <w:szCs w:val="24"/>
              </w:rPr>
            </w:pPr>
            <w:r>
              <w:rPr>
                <w:rFonts w:hint="eastAsia" w:ascii="仿宋_GB2312" w:eastAsia="仿宋_GB2312"/>
                <w:color w:val="000000"/>
                <w:kern w:val="0"/>
                <w:sz w:val="24"/>
                <w:szCs w:val="24"/>
              </w:rPr>
              <w:t>有行前说明会制度。</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4.6.1.2</w:t>
            </w:r>
          </w:p>
        </w:tc>
        <w:tc>
          <w:tcPr>
            <w:tcW w:w="1954" w:type="dxa"/>
            <w:tcBorders>
              <w:top w:val="single" w:color="auto" w:sz="4" w:space="0"/>
              <w:left w:val="nil"/>
              <w:bottom w:val="single" w:color="auto" w:sz="4" w:space="0"/>
              <w:right w:val="single" w:color="auto" w:sz="4" w:space="0"/>
            </w:tcBorders>
            <w:noWrap w:val="0"/>
            <w:vAlign w:val="center"/>
          </w:tcPr>
          <w:p>
            <w:pPr>
              <w:pStyle w:val="9"/>
              <w:ind w:firstLine="0" w:firstLineChars="0"/>
              <w:jc w:val="center"/>
              <w:rPr>
                <w:rFonts w:ascii="仿宋_GB2312" w:eastAsia="仿宋_GB2312"/>
                <w:color w:val="000000"/>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9"/>
              <w:ind w:firstLine="0" w:firstLineChars="0"/>
              <w:rPr>
                <w:rFonts w:ascii="仿宋_GB2312" w:eastAsia="仿宋_GB2312"/>
                <w:color w:val="000000"/>
                <w:kern w:val="0"/>
                <w:sz w:val="24"/>
                <w:szCs w:val="24"/>
              </w:rPr>
            </w:pPr>
            <w:r>
              <w:rPr>
                <w:rFonts w:hint="eastAsia" w:ascii="仿宋_GB2312" w:eastAsia="仿宋_GB2312"/>
                <w:color w:val="000000"/>
                <w:kern w:val="0"/>
                <w:sz w:val="24"/>
                <w:szCs w:val="24"/>
              </w:rPr>
              <w:t>执行行前说明会制度，规范讲解文明旅游内容。</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4.6.1.3</w:t>
            </w:r>
          </w:p>
        </w:tc>
        <w:tc>
          <w:tcPr>
            <w:tcW w:w="1954" w:type="dxa"/>
            <w:tcBorders>
              <w:top w:val="single" w:color="auto" w:sz="4" w:space="0"/>
              <w:left w:val="nil"/>
              <w:bottom w:val="single" w:color="auto" w:sz="4" w:space="0"/>
              <w:right w:val="single" w:color="auto" w:sz="4" w:space="0"/>
            </w:tcBorders>
            <w:noWrap w:val="0"/>
            <w:vAlign w:val="center"/>
          </w:tcPr>
          <w:p>
            <w:pPr>
              <w:pStyle w:val="9"/>
              <w:ind w:firstLine="0" w:firstLineChars="0"/>
              <w:jc w:val="center"/>
              <w:rPr>
                <w:rFonts w:ascii="仿宋_GB2312" w:eastAsia="仿宋_GB2312"/>
                <w:color w:val="000000"/>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9"/>
              <w:ind w:firstLine="0" w:firstLineChars="0"/>
              <w:rPr>
                <w:rFonts w:ascii="仿宋_GB2312" w:eastAsia="仿宋_GB2312"/>
                <w:color w:val="000000"/>
                <w:kern w:val="0"/>
                <w:sz w:val="24"/>
                <w:szCs w:val="24"/>
              </w:rPr>
            </w:pPr>
            <w:r>
              <w:rPr>
                <w:rFonts w:hint="eastAsia" w:ascii="仿宋_GB2312" w:eastAsia="仿宋_GB2312"/>
                <w:color w:val="000000"/>
                <w:kern w:val="0"/>
                <w:sz w:val="24"/>
                <w:szCs w:val="24"/>
              </w:rPr>
              <w:t>引导旅游者签订文明旅游承诺书。</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通过短信、微信等形式提醒参团旅游者文明旅游。</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4.6.1.5</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对行前说明会执行情况进行考核。</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落地环节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与地接社签订规范合同，约定文明旅游引导职责。</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全陪或领队与旅游目的地导游做好对接，宣传讲解目的地风俗习惯和有关禁忌，特别做好当地法律法规的提示、说明。</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组团社、地接社制定不文明旅游事件应急处置预案，并进行培训。</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行程环节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60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提前介绍文明乘车（飞机、船）的相关知识，并组织旅游者文明、安全乘坐交通工具。</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4.6.3.2</w:t>
            </w:r>
          </w:p>
        </w:tc>
        <w:tc>
          <w:tcPr>
            <w:tcW w:w="1954" w:type="dxa"/>
            <w:tcBorders>
              <w:top w:val="single" w:color="auto" w:sz="4" w:space="0"/>
              <w:left w:val="nil"/>
              <w:bottom w:val="single" w:color="auto" w:sz="4" w:space="0"/>
              <w:right w:val="single" w:color="auto" w:sz="4" w:space="0"/>
            </w:tcBorders>
            <w:noWrap w:val="0"/>
            <w:vAlign w:val="center"/>
          </w:tcPr>
          <w:p>
            <w:pPr>
              <w:pStyle w:val="9"/>
              <w:ind w:firstLine="0" w:firstLineChars="0"/>
              <w:rPr>
                <w:rFonts w:ascii="仿宋_GB2312" w:eastAsia="仿宋_GB2312"/>
                <w:color w:val="000000"/>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pStyle w:val="9"/>
              <w:ind w:firstLine="0" w:firstLineChars="0"/>
              <w:rPr>
                <w:rFonts w:ascii="仿宋_GB2312" w:eastAsia="仿宋_GB2312"/>
                <w:color w:val="000000"/>
                <w:kern w:val="0"/>
                <w:sz w:val="24"/>
                <w:szCs w:val="24"/>
              </w:rPr>
            </w:pPr>
            <w:r>
              <w:rPr>
                <w:rFonts w:hint="eastAsia" w:ascii="仿宋_GB2312" w:eastAsia="仿宋_GB2312"/>
                <w:color w:val="000000"/>
                <w:kern w:val="0"/>
                <w:sz w:val="24"/>
                <w:szCs w:val="24"/>
              </w:rPr>
              <w:t>提前介绍文明住宿的相关知识，并组织旅游者文明有序入住酒店。</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提前介绍文明用餐的相关知识，并组织旅游者文明有序就餐。</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4.6.3.4</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提前介绍文明游览的相关知识，并组织旅游者文明有序游览。</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4.6.3.5</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提前介绍文明娱乐的相关知识。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4</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4.6.3.6</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提前介绍文明购物、理性消费的相关知识。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4</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4.6.3.7</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提前介绍出入境相关法律法规及相关礼仪规范，并组织旅游者文明有序通关。</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4.6.3.8</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及时有效制止旅游者不文明行为。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4.6.3.9</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导游领队佩戴文明旅游引导标志。</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4.6.3.10</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无不文明行为事件或及时向旅行社、使领馆报告重大不文明行为事件。</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文明旅游督导员</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4.6.4.1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建立文明旅游督导员制度。</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4.6.4.2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有专门针对文明旅游督导员的培训。</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4.6.4.3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有文明旅游督导员活动记录。</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4.6.4.4</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有文明旅游督导员奖励制度并实施。</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星级旅游饭店</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120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住宿环节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办理入住时提醒旅游者文明住宿相关事项，大厅或客房摆放文明旅游公益宣传品或播放宣传片。</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提供娱乐项目或活动时，提醒旅游者文明娱乐相关事项。</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提醒旅游者文明住宿，对不文明行为及时有效劝导。</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餐饮环节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常态化开展“光盘行动”。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引导旅游者合理点菜、文明用餐，主动为消费者提供公勺公筷、打包服务。</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建立文明餐饮、节俭消费、公勺公筷、拒食野生动物等提醒提示制度。</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4.6.2.4</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在餐桌摆放文明用餐宣传牌。每发现1处不符合扣1分。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4.6.2.5</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有效维护文明、有序的就餐秩序，不提供野生动物餐饮服务。每发现1处不符合扣1分；提供野生动物餐饮服务扣8分。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4.6.2.6</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加强宴会前沟通，引导合理选择菜品、避免浪费。</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4.6.2.7</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加强食品采购和加工制作等各环节的管理，学习和推广各种减少食品浪费的措施。</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旅游景区</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r>
              <w:rPr>
                <w:rFonts w:hint="eastAsia" w:ascii="仿宋_GB2312"/>
                <w:b/>
                <w:bCs/>
                <w:kern w:val="0"/>
                <w:sz w:val="24"/>
                <w:szCs w:val="24"/>
              </w:rPr>
              <w:t>120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游览环节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景区入口、游客服务中心、旅游者集中场所显著位置设置文明旅游标语牌、进行文明旅游提示。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景区宣传册、宣传单、宣传广告上印有文明游览提示信息。</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游客服务中心、重要旅游点设立志愿服务站，并提供文明旅游引导服务。每发现1处不符合扣1分。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4.6.1.4</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游览车、摆渡车、游船等景区内交通工具上张贴、摆放文明旅游标识，服务人员提醒旅游者文明乘坐。每发现1处不符合扣1分。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4.6.1.5</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讲解词加入文明旅游相关内容。</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8</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4.6.1.6</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讲解服务过程中有文明旅游相关提示。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4.6.1.7</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旅游演出现场有文明观演提示。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4.6.1.8</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重点区域设有固定岗位文明旅游督导员，其他区域设有流动岗位文明旅游督导员。</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4.6.1.9</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文明旅游督导员有效发挥作用。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保护生态环节</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4.6.2.1</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有环境综合整治机构和制度。</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采取有效措施营造和谐舒适文明有序的旅游环境。</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4.6.2.3</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有环境保护制度和实施方案。</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4.6.2.4</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在景区入口显著位置公布最大承载量，有实时监控系统及客流预警方案。每发现1处不符合扣1分。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4.6.2.5</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景区卫生环境符合《旅游景区（点）质量等级的划分与评定》（GB/T 17775）的有关规定，建立有效的卫生检查管理制度，卫生环境良好。每发现1处不符合扣1分。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实践活动</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5.1</w:t>
            </w:r>
          </w:p>
        </w:tc>
        <w:tc>
          <w:tcPr>
            <w:tcW w:w="1954"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活动要求</w:t>
            </w:r>
          </w:p>
        </w:tc>
        <w:tc>
          <w:tcPr>
            <w:tcW w:w="3053" w:type="dxa"/>
            <w:tcBorders>
              <w:top w:val="single" w:color="auto" w:sz="4" w:space="0"/>
              <w:left w:val="nil"/>
              <w:bottom w:val="single" w:color="auto" w:sz="4" w:space="0"/>
              <w:right w:val="single" w:color="auto" w:sz="4" w:space="0"/>
            </w:tcBorders>
            <w:noWrap w:val="0"/>
            <w:vAlign w:val="center"/>
          </w:tcPr>
          <w:p>
            <w:pPr>
              <w:pStyle w:val="5"/>
              <w:jc w:val="center"/>
              <w:rPr>
                <w:rFonts w:ascii="仿宋_GB2312" w:eastAsia="仿宋_GB2312"/>
                <w:color w:val="000000"/>
                <w:sz w:val="24"/>
                <w:szCs w:val="24"/>
              </w:rPr>
            </w:pPr>
            <w:r>
              <w:rPr>
                <w:rFonts w:hint="eastAsia" w:ascii="仿宋_GB2312" w:eastAsia="仿宋_GB2312"/>
                <w:color w:val="00000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40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5.1.1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时点</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有结合长假、小长假或重要时点的文明旅游活动。分档计分。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一年7次及以上。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一年4次及以上。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sz w:val="24"/>
                <w:szCs w:val="24"/>
              </w:rPr>
            </w:pPr>
            <w:r>
              <w:rPr>
                <w:rFonts w:hint="eastAsia" w:ascii="仿宋_GB2312"/>
                <w:sz w:val="24"/>
                <w:szCs w:val="24"/>
              </w:rPr>
              <w:t>特色</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sz w:val="24"/>
                <w:szCs w:val="24"/>
              </w:rPr>
            </w:pPr>
            <w:r>
              <w:rPr>
                <w:rFonts w:hint="eastAsia" w:ascii="仿宋_GB2312"/>
                <w:sz w:val="24"/>
                <w:szCs w:val="24"/>
              </w:rPr>
              <w:t>有根据经营特点组织的文明旅游活动。一年1次得2分。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队伍建设</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5.2.1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队伍</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有志愿服务队伍。</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5.2.2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窗口</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有志愿服务窗口。</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5.2.3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项目</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有志愿服务项目。</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品牌建设</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5.3.1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创建活动</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有文明创建等活动。分档计分。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国家级文明品牌创建。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省级文明品牌创建。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市级文明品牌创建。</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5.3.2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文明共建活动</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有与其他部门及企事业单位联合开展的文明共建活动。分档计分。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一年8次及以上。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一年4次及以上。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公益活动</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分档计分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一年10次及以上。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一年8次及以上。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一年5次及以上。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附加项目</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100</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kern w:val="0"/>
                <w:sz w:val="24"/>
                <w:szCs w:val="24"/>
              </w:rPr>
            </w:pPr>
            <w:r>
              <w:rPr>
                <w:rFonts w:hint="eastAsia" w:ascii="仿宋_GB2312"/>
                <w:kern w:val="0"/>
                <w:sz w:val="24"/>
                <w:szCs w:val="24"/>
              </w:rPr>
              <w:t>单位荣获相关</w:t>
            </w:r>
          </w:p>
          <w:p>
            <w:pPr>
              <w:widowControl/>
              <w:jc w:val="center"/>
              <w:rPr>
                <w:rFonts w:ascii="仿宋_GB2312" w:hAnsi="Calibri"/>
                <w:kern w:val="0"/>
                <w:sz w:val="24"/>
                <w:szCs w:val="24"/>
              </w:rPr>
            </w:pPr>
            <w:r>
              <w:rPr>
                <w:rFonts w:hint="eastAsia" w:ascii="仿宋_GB2312"/>
                <w:kern w:val="0"/>
                <w:sz w:val="24"/>
                <w:szCs w:val="24"/>
              </w:rPr>
              <w:t>奖励或认证</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6.1.1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荣获相关奖励</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近三年单位获得服务质量、诚信建设、精神文明等相关奖励。</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中央部委奖励（1个及以上计15分）。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省级奖励（1个计5分）。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6.1.2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kern w:val="0"/>
                <w:sz w:val="24"/>
                <w:szCs w:val="24"/>
              </w:rPr>
            </w:pPr>
            <w:r>
              <w:rPr>
                <w:rFonts w:hint="eastAsia" w:ascii="仿宋_GB2312"/>
                <w:kern w:val="0"/>
                <w:sz w:val="24"/>
                <w:szCs w:val="24"/>
              </w:rPr>
              <w:t>荣获相关品牌</w:t>
            </w:r>
          </w:p>
          <w:p>
            <w:pPr>
              <w:widowControl/>
              <w:jc w:val="center"/>
              <w:rPr>
                <w:rFonts w:ascii="仿宋_GB2312" w:hAnsi="Calibri"/>
                <w:kern w:val="0"/>
                <w:sz w:val="24"/>
                <w:szCs w:val="24"/>
              </w:rPr>
            </w:pPr>
            <w:r>
              <w:rPr>
                <w:rFonts w:hint="eastAsia" w:ascii="仿宋_GB2312"/>
                <w:kern w:val="0"/>
                <w:sz w:val="24"/>
                <w:szCs w:val="24"/>
              </w:rPr>
              <w:t>或认证</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单位获得相关品牌或认证。</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91"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荣获国家5A级旅游景区、国家级旅游度假区、五星级旅游饭店、5A级旅行社、国家工业旅游示范基地、全国休闲农业与乡村旅游示范点等品牌或认证。获得1个及以上计15分。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荣获国家4A级旅游景区、省级旅游度假区、四星级旅游饭店、4A级旅行社、省级休闲农业与乡村旅游示范点等品牌或认证。每1个计5分。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6.2</w:t>
            </w: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工作人员荣获奖励</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近三年工作人员获得服务质量、诚信建设、精神文明等相关奖励。累计计分。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中央部委奖励（1个及以上计20分）。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省级奖励（1个及以上计15分）。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市级奖励（1个及以上计10分）。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6.3</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志愿者</w:t>
            </w:r>
          </w:p>
        </w:tc>
        <w:tc>
          <w:tcPr>
            <w:tcW w:w="305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6.3.1</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活动品牌</w:t>
            </w:r>
          </w:p>
        </w:tc>
        <w:tc>
          <w:tcPr>
            <w:tcW w:w="3053" w:type="dxa"/>
            <w:tcBorders>
              <w:top w:val="single" w:color="auto" w:sz="4" w:space="0"/>
              <w:left w:val="nil"/>
              <w:bottom w:val="single" w:color="auto" w:sz="4" w:space="0"/>
              <w:right w:val="single" w:color="auto" w:sz="4" w:space="0"/>
            </w:tcBorders>
            <w:noWrap w:val="0"/>
            <w:vAlign w:val="center"/>
          </w:tcPr>
          <w:p>
            <w:pPr>
              <w:rPr>
                <w:rFonts w:ascii="仿宋_GB2312" w:hAnsi="Calibri"/>
                <w:kern w:val="0"/>
                <w:sz w:val="24"/>
                <w:szCs w:val="24"/>
              </w:rPr>
            </w:pPr>
            <w:r>
              <w:rPr>
                <w:rFonts w:hint="eastAsia" w:ascii="仿宋_GB2312"/>
                <w:kern w:val="0"/>
                <w:sz w:val="24"/>
                <w:szCs w:val="24"/>
              </w:rPr>
              <w:t>有特色鲜明的志愿服务品牌。</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6.3.2</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活动频次</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活动频次较高。</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一年10次及以上。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一年8次及以上。</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8</w:t>
            </w: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6.4</w:t>
            </w:r>
          </w:p>
        </w:tc>
        <w:tc>
          <w:tcPr>
            <w:tcW w:w="195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媒体宣传</w:t>
            </w: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文明旅游活动或事迹被各类社会媒体报道、宣传（此处分数可累加）。累计计分。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文档检查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中央媒体（每1个计6分）。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30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省级或行业媒体（每1个计5分）。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20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地（市）级媒体（每1个计2分）。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10</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954"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p>
        </w:tc>
        <w:tc>
          <w:tcPr>
            <w:tcW w:w="3053" w:type="dxa"/>
            <w:tcBorders>
              <w:top w:val="single" w:color="auto" w:sz="4" w:space="0"/>
              <w:left w:val="nil"/>
              <w:bottom w:val="single" w:color="auto" w:sz="4" w:space="0"/>
              <w:right w:val="single" w:color="auto" w:sz="4" w:space="0"/>
            </w:tcBorders>
            <w:noWrap w:val="0"/>
            <w:vAlign w:val="center"/>
          </w:tcPr>
          <w:p>
            <w:pPr>
              <w:widowControl/>
              <w:rPr>
                <w:rFonts w:ascii="仿宋_GB2312" w:hAnsi="Calibri"/>
                <w:kern w:val="0"/>
                <w:sz w:val="24"/>
                <w:szCs w:val="24"/>
              </w:rPr>
            </w:pPr>
            <w:r>
              <w:rPr>
                <w:rFonts w:hint="eastAsia" w:ascii="仿宋_GB2312"/>
                <w:kern w:val="0"/>
                <w:sz w:val="24"/>
                <w:szCs w:val="24"/>
              </w:rPr>
              <w:t>地（市）级以下媒体（每1个计1分）。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r>
              <w:rPr>
                <w:rFonts w:hint="eastAsia" w:ascii="仿宋_GB2312"/>
                <w:kern w:val="0"/>
                <w:sz w:val="24"/>
                <w:szCs w:val="24"/>
              </w:rPr>
              <w:t>5</w:t>
            </w:r>
          </w:p>
        </w:tc>
        <w:tc>
          <w:tcPr>
            <w:tcW w:w="6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c>
          <w:tcPr>
            <w:tcW w:w="12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kern w:val="0"/>
                <w:sz w:val="24"/>
                <w:szCs w:val="24"/>
              </w:rPr>
            </w:pPr>
          </w:p>
        </w:tc>
      </w:tr>
    </w:tbl>
    <w:p>
      <w:pPr>
        <w:ind w:left="480" w:hanging="330" w:hangingChars="150"/>
        <w:rPr>
          <w:rFonts w:hint="eastAsia" w:ascii="仿宋_GB2312" w:hAnsi="仿宋_GB2312" w:eastAsia="仿宋_GB2312" w:cs="仿宋_GB2312"/>
          <w:sz w:val="22"/>
          <w:szCs w:val="22"/>
        </w:rPr>
      </w:pPr>
      <w:r>
        <w:rPr>
          <w:rFonts w:hint="eastAsia" w:ascii="仿宋_GB2312" w:hAnsi="仿宋_GB2312" w:eastAsia="仿宋_GB2312" w:cs="仿宋_GB2312"/>
          <w:sz w:val="22"/>
          <w:szCs w:val="28"/>
        </w:rPr>
        <w:t>注：所有项目评分的最高分数不得超过该项所占分值，最低分数不得出现负值。</w:t>
      </w:r>
    </w:p>
    <w:p>
      <w:pPr>
        <w:rPr>
          <w:rFonts w:hint="eastAsia" w:ascii="仿宋_GB2312"/>
        </w:rPr>
      </w:pPr>
      <w:r>
        <w:rPr>
          <w:rFonts w:hint="eastAsia" w:ascii="仿宋_GB2312"/>
        </w:rPr>
        <w:t xml:space="preserve"> </w:t>
      </w:r>
    </w:p>
    <w:p>
      <w:pPr>
        <w:jc w:val="center"/>
        <w:rPr>
          <w:rFonts w:hint="eastAsia" w:ascii="方正小标宋简体" w:hAnsi="仿宋_GB2312" w:eastAsia="方正小标宋简体" w:cs="仿宋_GB2312"/>
          <w:sz w:val="36"/>
          <w:szCs w:val="36"/>
        </w:rPr>
      </w:pPr>
      <w:r>
        <w:rPr>
          <w:rFonts w:ascii="方正仿宋_GBK"/>
        </w:rPr>
        <w:br w:type="page"/>
      </w:r>
      <w:r>
        <w:rPr>
          <w:rFonts w:hint="eastAsia" w:ascii="方正小标宋简体" w:hAnsi="仿宋_GB2312" w:eastAsia="方正小标宋简体" w:cs="仿宋_GB2312"/>
          <w:sz w:val="36"/>
          <w:szCs w:val="36"/>
        </w:rPr>
        <w:t>文明旅游负面清单管理措施</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5"/>
        <w:gridCol w:w="3016"/>
        <w:gridCol w:w="311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黑体" w:hAnsi="Calibri" w:eastAsia="黑体"/>
                <w:bCs/>
                <w:sz w:val="30"/>
                <w:szCs w:val="30"/>
              </w:rPr>
            </w:pPr>
            <w:r>
              <w:rPr>
                <w:rFonts w:hint="eastAsia" w:ascii="黑体" w:eastAsia="黑体"/>
                <w:bCs/>
                <w:sz w:val="30"/>
                <w:szCs w:val="30"/>
              </w:rPr>
              <w:t>序号</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黑体" w:hAnsi="Calibri" w:eastAsia="黑体"/>
                <w:bCs/>
                <w:sz w:val="30"/>
                <w:szCs w:val="30"/>
              </w:rPr>
            </w:pPr>
            <w:r>
              <w:rPr>
                <w:rFonts w:hint="eastAsia" w:ascii="黑体" w:eastAsia="黑体"/>
                <w:bCs/>
                <w:sz w:val="30"/>
                <w:szCs w:val="30"/>
              </w:rPr>
              <w:t>项目</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黑体" w:hAnsi="Calibri" w:eastAsia="黑体"/>
                <w:bCs/>
                <w:sz w:val="30"/>
                <w:szCs w:val="30"/>
              </w:rPr>
            </w:pPr>
            <w:r>
              <w:rPr>
                <w:rFonts w:hint="eastAsia" w:ascii="黑体" w:eastAsia="黑体"/>
                <w:bCs/>
                <w:sz w:val="30"/>
                <w:szCs w:val="30"/>
              </w:rPr>
              <w:t>惩戒办法</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hint="eastAsia" w:ascii="黑体" w:eastAsia="黑体"/>
                <w:bCs/>
                <w:sz w:val="30"/>
                <w:szCs w:val="30"/>
              </w:rPr>
            </w:pPr>
            <w:r>
              <w:rPr>
                <w:rFonts w:hint="eastAsia" w:ascii="黑体" w:eastAsia="黑体"/>
                <w:bCs/>
                <w:sz w:val="30"/>
                <w:szCs w:val="30"/>
              </w:rPr>
              <w:t>验收方法</w:t>
            </w:r>
          </w:p>
          <w:p>
            <w:pPr>
              <w:spacing w:line="500" w:lineRule="exact"/>
              <w:jc w:val="center"/>
              <w:rPr>
                <w:rFonts w:ascii="黑体" w:hAnsi="Calibri" w:eastAsia="黑体"/>
                <w:bCs/>
                <w:sz w:val="30"/>
                <w:szCs w:val="30"/>
              </w:rPr>
            </w:pPr>
            <w:r>
              <w:rPr>
                <w:rFonts w:hint="eastAsia" w:ascii="黑体" w:eastAsia="黑体"/>
                <w:bCs/>
                <w:sz w:val="30"/>
                <w:szCs w:val="30"/>
              </w:rPr>
              <w:t>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因宣传引导和劝导不力导致的旅游者不文明行为</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累计计分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1.1</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扰乱航空器、车船或者其他公共交通工具秩序</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1.2</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破坏公共环境卫生、公共设施</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1.3</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违反旅游目的地社会风俗、民族生活习惯</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1.4</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损毁、破坏旅游目的地文物古迹</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1.5</w:t>
            </w:r>
          </w:p>
        </w:tc>
        <w:tc>
          <w:tcPr>
            <w:tcW w:w="3016"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参与赌博、色情、涉毒活动</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1.6</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不顾劝阻、警示从事危及自身以及他人人身财产安全的活动</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1.7</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破坏生态环境，违反野生动植物保护规定</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1.8</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违反旅游场所规定，严重扰乱旅游秩序</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测评前12个月发生，测评成绩扣25分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1.9</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中华人民共和国文化和旅游部认定的造成严重社会不良影响的其他行为</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测评前12个月发生，测评成绩扣50分</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旅游经营管理与服务的工作人员</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2.1</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价格欺诈、强迫交易、欺骗诱导旅游者消费</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测评前12个月发生，取消申报资格</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2.2</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侮辱、殴打、胁迫旅游者</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测评前12个月发生，取消申报资格</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2.3</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不尊重旅游目的地或旅游者的宗教信仰、民族习惯、风俗禁忌</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测评前12个月发生，取消申报资格</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2.4</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传播低级趣味、宣传迷信思想</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测评前12个月发生，取消申报资格</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Calibri"/>
                <w:sz w:val="30"/>
                <w:szCs w:val="30"/>
              </w:rPr>
            </w:pPr>
            <w:r>
              <w:rPr>
                <w:rFonts w:hint="eastAsia" w:ascii="仿宋_GB2312"/>
                <w:sz w:val="30"/>
                <w:szCs w:val="30"/>
              </w:rPr>
              <w:t>2.5</w:t>
            </w:r>
          </w:p>
        </w:tc>
        <w:tc>
          <w:tcPr>
            <w:tcW w:w="3016" w:type="dxa"/>
            <w:tcBorders>
              <w:top w:val="single" w:color="auto" w:sz="4" w:space="0"/>
              <w:left w:val="nil"/>
              <w:bottom w:val="single" w:color="auto" w:sz="4" w:space="0"/>
              <w:right w:val="single" w:color="auto" w:sz="4" w:space="0"/>
            </w:tcBorders>
            <w:noWrap w:val="0"/>
            <w:vAlign w:val="top"/>
          </w:tcPr>
          <w:p>
            <w:pPr>
              <w:spacing w:line="500" w:lineRule="exact"/>
              <w:rPr>
                <w:rFonts w:ascii="仿宋_GB2312" w:hAnsi="Calibri"/>
                <w:sz w:val="30"/>
                <w:szCs w:val="30"/>
              </w:rPr>
            </w:pPr>
            <w:r>
              <w:rPr>
                <w:rFonts w:hint="eastAsia" w:ascii="仿宋_GB2312"/>
                <w:sz w:val="30"/>
                <w:szCs w:val="30"/>
              </w:rPr>
              <w:t>中华人民共和国文化和旅游部认定的其他旅游不文明行为</w:t>
            </w:r>
          </w:p>
        </w:tc>
        <w:tc>
          <w:tcPr>
            <w:tcW w:w="3118"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测评前12个月发生，取消申报资格</w:t>
            </w:r>
          </w:p>
        </w:tc>
        <w:tc>
          <w:tcPr>
            <w:tcW w:w="1801" w:type="dxa"/>
            <w:tcBorders>
              <w:top w:val="single" w:color="auto" w:sz="4" w:space="0"/>
              <w:left w:val="nil"/>
              <w:bottom w:val="single" w:color="auto" w:sz="4" w:space="0"/>
              <w:right w:val="single" w:color="auto" w:sz="4" w:space="0"/>
            </w:tcBorders>
            <w:noWrap w:val="0"/>
            <w:vAlign w:val="center"/>
          </w:tcPr>
          <w:p>
            <w:pPr>
              <w:spacing w:line="500" w:lineRule="exact"/>
              <w:rPr>
                <w:rFonts w:ascii="仿宋_GB2312" w:hAnsi="Calibri"/>
                <w:sz w:val="30"/>
                <w:szCs w:val="30"/>
              </w:rPr>
            </w:pPr>
            <w:r>
              <w:rPr>
                <w:rFonts w:hint="eastAsia" w:ascii="仿宋_GB2312"/>
                <w:sz w:val="30"/>
                <w:szCs w:val="30"/>
              </w:rPr>
              <w:t>文档、现场综合检查。</w:t>
            </w:r>
          </w:p>
        </w:tc>
      </w:tr>
    </w:tbl>
    <w:p>
      <w:pPr>
        <w:spacing w:line="600" w:lineRule="exact"/>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等线 Light">
    <w:altName w:val="微软雅黑"/>
    <w:panose1 w:val="00000000000000000000"/>
    <w:charset w:val="00"/>
    <w:family w:val="auto"/>
    <w:pitch w:val="default"/>
    <w:sig w:usb0="00000000" w:usb1="00000000" w:usb2="00000000" w:usb3="00000000" w:csb0="00040001" w:csb1="00000000"/>
  </w:font>
  <w:font w:name="方正仿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5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widowControl/>
      <w:spacing w:before="100" w:beforeAutospacing="1" w:after="100" w:afterAutospacing="1"/>
      <w:ind w:firstLine="0" w:firstLineChars="0"/>
    </w:pPr>
    <w:rPr>
      <w:rFonts w:ascii="宋体" w:hAnsi="宋体" w:eastAsia="宋体" w:cs="宋体"/>
      <w:sz w:val="24"/>
      <w:szCs w:val="24"/>
    </w:rPr>
  </w:style>
  <w:style w:type="paragraph" w:customStyle="1" w:styleId="5">
    <w:name w:val="二级无"/>
    <w:basedOn w:val="6"/>
    <w:uiPriority w:val="0"/>
    <w:pPr>
      <w:spacing w:beforeLines="0" w:afterLines="0"/>
    </w:pPr>
    <w:rPr>
      <w:rFonts w:ascii="宋体" w:eastAsia="宋体"/>
    </w:rPr>
  </w:style>
  <w:style w:type="paragraph" w:customStyle="1" w:styleId="6">
    <w:name w:val="二级条标题"/>
    <w:basedOn w:val="7"/>
    <w:next w:val="1"/>
    <w:uiPriority w:val="0"/>
    <w:pPr>
      <w:spacing w:before="0" w:beforeLines="50" w:beforeAutospacing="0" w:after="0" w:afterLines="50" w:afterAutospacing="0"/>
      <w:ind w:left="0"/>
      <w:jc w:val="left"/>
      <w:outlineLvl w:val="3"/>
    </w:pPr>
    <w:rPr>
      <w:kern w:val="0"/>
    </w:rPr>
  </w:style>
  <w:style w:type="paragraph" w:customStyle="1" w:styleId="7">
    <w:name w:val="一级条标题"/>
    <w:basedOn w:val="1"/>
    <w:next w:val="8"/>
    <w:uiPriority w:val="0"/>
    <w:pPr>
      <w:widowControl/>
      <w:spacing w:before="100" w:beforeAutospacing="1" w:after="100" w:afterAutospacing="1"/>
      <w:ind w:left="630"/>
      <w:outlineLvl w:val="2"/>
    </w:pPr>
    <w:rPr>
      <w:rFonts w:ascii="黑体" w:eastAsia="黑体"/>
      <w:color w:val="auto"/>
      <w:sz w:val="21"/>
      <w:szCs w:val="21"/>
    </w:rPr>
  </w:style>
  <w:style w:type="paragraph" w:customStyle="1" w:styleId="8">
    <w:name w:val="段"/>
    <w:basedOn w:val="1"/>
    <w:uiPriority w:val="0"/>
    <w:pPr>
      <w:widowControl/>
      <w:autoSpaceDE w:val="0"/>
      <w:autoSpaceDN w:val="0"/>
      <w:ind w:firstLine="200" w:firstLineChars="200"/>
    </w:pPr>
    <w:rPr>
      <w:rFonts w:ascii="宋体" w:eastAsia="宋体"/>
      <w:color w:val="auto"/>
      <w:kern w:val="0"/>
      <w:sz w:val="21"/>
      <w:szCs w:val="21"/>
    </w:rPr>
  </w:style>
  <w:style w:type="paragraph" w:customStyle="1" w:styleId="9">
    <w:name w:val="列出段落1"/>
    <w:basedOn w:val="1"/>
    <w:uiPriority w:val="0"/>
    <w:pPr>
      <w:ind w:firstLine="420" w:firstLineChars="200"/>
    </w:pPr>
    <w:rPr>
      <w:rFonts w:ascii="Calibri" w:hAnsi="Calibri" w:eastAsia="宋体"/>
      <w:color w:val="auto"/>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2021-04-14T02:55:23Z</dcterms:created>
  <dc:creator>wucong</dc:creator>
  <cp:lastModifiedBy>网站信息发布人员</cp:lastModifiedBy>
  <dcterms:modified xsi:type="dcterms:W3CDTF">2021-04-14T02:55:43Z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F4ED7150EBE84731BF8ACF86F29277CB</vt:lpwstr>
  </property>
</Properties>
</file>